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5245"/>
      </w:tblGrid>
      <w:tr w:rsidR="009A0841" w:rsidRPr="009A0841" w:rsidTr="00F4139B">
        <w:trPr>
          <w:trHeight w:val="704"/>
        </w:trPr>
        <w:tc>
          <w:tcPr>
            <w:tcW w:w="5495" w:type="dxa"/>
          </w:tcPr>
          <w:p w:rsidR="009A0841" w:rsidRPr="009A0841" w:rsidRDefault="009A0841" w:rsidP="009A08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</w:tcPr>
          <w:p w:rsidR="009A0841" w:rsidRPr="009A0841" w:rsidRDefault="009A0841" w:rsidP="009A0841">
            <w:pPr>
              <w:tabs>
                <w:tab w:val="left" w:pos="10460"/>
                <w:tab w:val="left" w:pos="10773"/>
              </w:tabs>
              <w:spacing w:line="264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0841">
              <w:rPr>
                <w:rFonts w:ascii="Times New Roman" w:hAnsi="Times New Roman" w:cs="Times New Roman"/>
                <w:sz w:val="20"/>
                <w:szCs w:val="20"/>
              </w:rPr>
              <w:t xml:space="preserve">Приложение 2.1 к 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Программе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механизмов управления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районе, утвержденной приказом Управления образования от 29.06.2021 года № 567 «</w:t>
            </w:r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Об утверждении </w:t>
            </w:r>
            <w:proofErr w:type="gramStart"/>
            <w:r w:rsidRPr="009A0841">
              <w:rPr>
                <w:rFonts w:ascii="Times New Roman" w:eastAsia="Times New Roman" w:hAnsi="Times New Roman" w:cs="Times New Roman"/>
                <w:w w:val="105"/>
                <w:sz w:val="20"/>
                <w:szCs w:val="20"/>
                <w:lang w:eastAsia="ru-RU"/>
              </w:rPr>
              <w:t xml:space="preserve">Программы мониторинга </w:t>
            </w:r>
            <w:r w:rsidRPr="009A084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реализации </w:t>
            </w:r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механизмов управления</w:t>
            </w:r>
            <w:proofErr w:type="gram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качеством образования в </w:t>
            </w:r>
            <w:proofErr w:type="spellStart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Грязовецком</w:t>
            </w:r>
            <w:proofErr w:type="spellEnd"/>
            <w:r w:rsidRPr="009A084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муниципальном районе</w:t>
            </w:r>
          </w:p>
        </w:tc>
      </w:tr>
    </w:tbl>
    <w:p w:rsidR="00F4139B" w:rsidRDefault="00F4139B" w:rsidP="00F41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4139B" w:rsidRDefault="009A0841" w:rsidP="00F41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hAnsi="Times New Roman" w:cs="Times New Roman"/>
          <w:b/>
          <w:sz w:val="24"/>
          <w:szCs w:val="24"/>
        </w:rPr>
        <w:t>Экспертный лист</w:t>
      </w:r>
    </w:p>
    <w:p w:rsidR="009A0841" w:rsidRPr="00F4139B" w:rsidRDefault="00F4139B" w:rsidP="00F413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 xml:space="preserve"> мониторинг «Оценка качества подготовки </w:t>
      </w:r>
      <w:proofErr w:type="gramStart"/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обучающихся</w:t>
      </w:r>
      <w:proofErr w:type="gramEnd"/>
      <w:r w:rsidRPr="00F4139B">
        <w:rPr>
          <w:rFonts w:ascii="Times New Roman" w:eastAsia="Arial" w:hAnsi="Times New Roman" w:cs="Times New Roman"/>
          <w:b/>
          <w:i/>
          <w:w w:val="105"/>
          <w:sz w:val="24"/>
          <w:szCs w:val="24"/>
          <w:lang w:eastAsia="ru-RU" w:bidi="ru-RU"/>
        </w:rPr>
        <w:t>»</w:t>
      </w:r>
    </w:p>
    <w:p w:rsidR="009A0841" w:rsidRDefault="00F4139B" w:rsidP="00F4139B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МБОУ___________________________________________________________________</w:t>
      </w:r>
    </w:p>
    <w:p w:rsidR="00F4139B" w:rsidRPr="001C7C8A" w:rsidRDefault="001C7C8A" w:rsidP="00F4139B">
      <w:pPr>
        <w:rPr>
          <w:rFonts w:ascii="Times New Roman" w:hAnsi="Times New Roman" w:cs="Times New Roman"/>
        </w:rPr>
      </w:pPr>
      <w:r w:rsidRPr="001C7C8A">
        <w:rPr>
          <w:rFonts w:ascii="Times New Roman" w:hAnsi="Times New Roman" w:cs="Times New Roman"/>
        </w:rPr>
        <w:t>Для определения доли (%) используем к</w:t>
      </w:r>
      <w:r w:rsidR="00F4139B" w:rsidRPr="001C7C8A">
        <w:rPr>
          <w:rFonts w:ascii="Times New Roman" w:hAnsi="Times New Roman" w:cs="Times New Roman"/>
        </w:rPr>
        <w:t xml:space="preserve">онтингент </w:t>
      </w:r>
      <w:proofErr w:type="gramStart"/>
      <w:r w:rsidR="00F4139B" w:rsidRPr="001C7C8A">
        <w:rPr>
          <w:rFonts w:ascii="Times New Roman" w:hAnsi="Times New Roman" w:cs="Times New Roman"/>
        </w:rPr>
        <w:t>обучающихся</w:t>
      </w:r>
      <w:proofErr w:type="gramEnd"/>
      <w:r w:rsidRPr="001C7C8A">
        <w:rPr>
          <w:rFonts w:ascii="Times New Roman" w:hAnsi="Times New Roman" w:cs="Times New Roman"/>
        </w:rPr>
        <w:t xml:space="preserve">   </w:t>
      </w:r>
      <w:r w:rsidR="00F4139B" w:rsidRPr="001C7C8A">
        <w:rPr>
          <w:rFonts w:ascii="Times New Roman" w:hAnsi="Times New Roman" w:cs="Times New Roman"/>
        </w:rPr>
        <w:t xml:space="preserve"> на 01.09 2018, 01.09 2019, 01.09 2020</w:t>
      </w:r>
    </w:p>
    <w:tbl>
      <w:tblPr>
        <w:tblW w:w="10739" w:type="dxa"/>
        <w:tblLayout w:type="fixed"/>
        <w:tblLook w:val="04A0" w:firstRow="1" w:lastRow="0" w:firstColumn="1" w:lastColumn="0" w:noHBand="0" w:noVBand="1"/>
      </w:tblPr>
      <w:tblGrid>
        <w:gridCol w:w="696"/>
        <w:gridCol w:w="7209"/>
        <w:gridCol w:w="1134"/>
        <w:gridCol w:w="850"/>
        <w:gridCol w:w="850"/>
      </w:tblGrid>
      <w:tr w:rsidR="000E6751" w:rsidRPr="000E6751" w:rsidTr="004274A9">
        <w:trPr>
          <w:trHeight w:val="19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Показатель мониторинга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2019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2021 год</w:t>
            </w:r>
          </w:p>
        </w:tc>
      </w:tr>
      <w:tr w:rsidR="009A0841" w:rsidRPr="000E6751" w:rsidTr="004274A9">
        <w:trPr>
          <w:trHeight w:val="269"/>
        </w:trPr>
        <w:tc>
          <w:tcPr>
            <w:tcW w:w="107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841" w:rsidRPr="009A0841" w:rsidRDefault="009A0841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остижение </w:t>
            </w:r>
            <w:proofErr w:type="gramStart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планируемых предметных результатов освоения основной образовательной программы начального общего образования:</w:t>
            </w:r>
          </w:p>
        </w:tc>
      </w:tr>
      <w:tr w:rsidR="000E6751" w:rsidRPr="000E6751" w:rsidTr="004274A9">
        <w:trPr>
          <w:trHeight w:val="37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показавших низкие результаты по учебному предмету в рамках участия в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35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1.1.2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показавших низкие результаты по учебному предмету в рамках участия в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25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освоивших образовательную программу по учебному предмету по результатам участия в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1.2.2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освоивших образовательную программу по учебному предмету по результатам участия в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«зоне риска» получения неудовлетворительных результатов по итогам участия в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7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1.3.2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в «зоне риска» получения неудовлетворительных результатов по итогам участия в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7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427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</w:t>
            </w:r>
            <w:r w:rsidR="00427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 </w:t>
            </w:r>
            <w:proofErr w:type="gramStart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подтвердивших текущую успеваемость по учебному предмету результатами ВПР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подтвердивших текущую успеваемость по учебному предмету результатами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показавших высокие результаты по учебному предмету в рамках участия в ВПР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2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показавших высокие результаты по учебному предмету в рамках участия в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841" w:rsidRPr="000E6751" w:rsidTr="004274A9">
        <w:trPr>
          <w:trHeight w:val="427"/>
        </w:trPr>
        <w:tc>
          <w:tcPr>
            <w:tcW w:w="10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A0841" w:rsidRPr="009A0841" w:rsidRDefault="009A0841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остижение </w:t>
            </w:r>
            <w:proofErr w:type="gramStart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планируемых предметных результатов освоения основной образовательной программы основного общего образования:</w:t>
            </w:r>
          </w:p>
        </w:tc>
      </w:tr>
      <w:tr w:rsidR="000E6751" w:rsidRPr="000E6751" w:rsidTr="004274A9">
        <w:trPr>
          <w:trHeight w:val="87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показавших низкие результаты по учебному предмету в рамках участия в оценочной процедуре (муниципальный мониторинг, ВПР, НИКО, МСИ, основной государственный экзамен (далее – ОГЭ))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0E67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8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</w:t>
            </w:r>
          </w:p>
        </w:tc>
        <w:tc>
          <w:tcPr>
            <w:tcW w:w="7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показавших низкие результаты по учебному предмету в рамках участия в оценочной процедуре (муниципальный мониторинг, ВПР, НИКО, МСИ, основной государственный экзамен (далее – ОГЭ))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65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2.2.1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освоивших образовательную программу по учебному предмету по результатам участия в оценочной процедуре (муниципальный мониторинг, ВПР, НИКО, МСИ, ОГЭ)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7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освоивших образовательную программу по учебному предмету по результатам участия в оценочной процедуре (муниципальный мониторинг, ВПР, НИКО, МСИ, ОГЭ)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7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«зоне риска» получения неудовлетворительных результатов по итогам участия в ВПР, итоговом собеседовании по русскому языку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62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в «зоне риска» получения неудовлетворительных результатов по итогам участия в ВПР, итоговом собеседовании по русскому языку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62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подтвердивших текущую успеваемость по учебному предмету результатами ВПР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6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подтвердивших текущую успеваемость по учебному предмету результатами ВПР;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65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показавших высокие результаты по учебному предмету в рамках участия в оценочной процедуре (муниципальный мониторинг, ВПР, НИКО, МСИ, ОГЭ)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2.5.2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показавших высокие результаты по учебному предмету в рамках участия в оценочной процедуре (муниципальный мониторинг, ВПР, НИКО, МСИ, ОГЭ)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набравших 9 и более баллов по сумме двух предметов ОГЭ по выбору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43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2.6.2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набравших 9 и более баллов по сумме двух предметов ОГЭ по выбору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841" w:rsidRPr="000E6751" w:rsidTr="004274A9">
        <w:trPr>
          <w:trHeight w:val="539"/>
        </w:trPr>
        <w:tc>
          <w:tcPr>
            <w:tcW w:w="10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841" w:rsidRPr="009A0841" w:rsidRDefault="009A0841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</w:t>
            </w: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остижение </w:t>
            </w:r>
            <w:proofErr w:type="gramStart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планируемых предметных результатов освоения основной образовательной программы среднего общего образования:</w:t>
            </w:r>
          </w:p>
        </w:tc>
      </w:tr>
      <w:tr w:rsidR="000E6751" w:rsidRPr="000E6751" w:rsidTr="004274A9">
        <w:trPr>
          <w:trHeight w:val="117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3.1.1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показавших низкие результаты по учебному предмету в рамках участия в оценочной процедуре (муниципальный мониторинг, ВПР, НИКО, МСИ, единый государстве</w:t>
            </w:r>
            <w:r w:rsidR="001C7C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нный экзамен (далее – ЕГЭ)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2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показавших низкие результаты по учебному предмету в рамках участия в оценочной процедуре (муниципальный мониторинг, ВПР, НИКО, МСИ, единый государственный экзамен (далее – ЕГЭ))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освоивших образовательную программу по учебному предмету по результатам участия в оценочной процедуре (муниципальный мониторинг, ВПР, НИКО, МСИ, ЕГЭ)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освоивших образовательную программу по учебному предмету по результатам участия в оценочной процедуре (муниципальный мониторинг, ВПР, НИКО, МСИ, ЕГЭ)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в «зоне риска» получения неудовлетворительных результатов по итогам участия в итоговом сочинении по русскому языку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в «зоне риска» получения неудовлетворительных результатов по итогам участия в итоговом сочинении по русскому языку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3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подтвердивших текущую успеваемость по учебному предмету результатами ВПР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33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подтвердивших текущую успеваемость по учебному предмету результатами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60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показавших высокие результаты по учебному предмету в рамках участия в оценочной процедуре (муниципальный мониторинг, ВПР, НИКО, МСИ, ЕГЭ)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показавших высокие результаты по учебному предмету в рамках участия в оценочной процедуре (муниципальный мониторинг, ВПР, НИКО, МСИ, ЕГЭ)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3.6.1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набравших более 150 баллов по сумме 3 лучших результатов по предметам ЕГЭ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3.6.2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набравших более 150 баллов по сумме 3 лучших результатов по предметам ЕГЭ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набравших более 220 баллов по сумме 3 лучших результатов по предметам ЕГЭ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9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3.7.2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набравших более 220 баллов по сумме 3 лучших результатов по предметам ЕГЭ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841" w:rsidRPr="000E6751" w:rsidTr="004274A9">
        <w:trPr>
          <w:trHeight w:val="383"/>
        </w:trPr>
        <w:tc>
          <w:tcPr>
            <w:tcW w:w="10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841" w:rsidRPr="009A0841" w:rsidRDefault="009A0841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Д</w:t>
            </w: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остижение </w:t>
            </w:r>
            <w:proofErr w:type="spellStart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результатов:</w:t>
            </w: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успешно выполнивших комплексные работы, направленные на оценку </w:t>
            </w:r>
            <w:proofErr w:type="spellStart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успешно выполнивших комплексные работы, направленные на оценку </w:t>
            </w:r>
            <w:proofErr w:type="spellStart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обучающихся, продемонстрировавших низкий уровень </w:t>
            </w:r>
            <w:proofErr w:type="spellStart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по итогам выполнения диагностические работ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обучающихся, продемонстрировавших низкий уровень </w:t>
            </w:r>
            <w:proofErr w:type="spellStart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результатов по итогам выполнения диагностические работ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A0841" w:rsidRPr="000E6751" w:rsidTr="004274A9">
        <w:trPr>
          <w:trHeight w:val="283"/>
        </w:trPr>
        <w:tc>
          <w:tcPr>
            <w:tcW w:w="10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0841" w:rsidRPr="009A0841" w:rsidRDefault="009A0841" w:rsidP="009A08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</w:t>
            </w: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еализация адаптированных основных общеобразовательных программ:</w:t>
            </w: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 с ограниченными возможностями здоровья (далее – ОВЗ), освоивших адаптированную образовательную программу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 с ограниченными возможностями здоровья (далее – ОВЗ), освоивших адаптированную образовательную программу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139B" w:rsidRPr="000E6751" w:rsidTr="004274A9">
        <w:trPr>
          <w:trHeight w:val="357"/>
        </w:trPr>
        <w:tc>
          <w:tcPr>
            <w:tcW w:w="10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39B" w:rsidRPr="00F4139B" w:rsidRDefault="00F4139B" w:rsidP="00F4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ценка функциональной грамотности:</w:t>
            </w:r>
          </w:p>
        </w:tc>
      </w:tr>
      <w:tr w:rsidR="000E6751" w:rsidRPr="000E6751" w:rsidTr="004274A9">
        <w:trPr>
          <w:trHeight w:val="61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успешно выполнивших соответствующие задания оценочной процедуры, направленные на оценку функциональной грамотности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6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успешно выполнивших соответствующие задания оценочной процедуры, направленные на оценку функциональной грамотности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691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обучающихся, не выполнивших соответствующие задания оценочной процедуры, направленные на оценку функциональной грамотности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79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обучающихся, не выполнивших соответствующие задания оценочной процедуры, направленные на оценку функциональной грамотности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139B" w:rsidRPr="000E6751" w:rsidTr="004274A9">
        <w:trPr>
          <w:trHeight w:val="283"/>
        </w:trPr>
        <w:tc>
          <w:tcPr>
            <w:tcW w:w="10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39B" w:rsidRPr="00F4139B" w:rsidRDefault="00F4139B" w:rsidP="00F4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беспечение </w:t>
            </w:r>
            <w:proofErr w:type="gramStart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объективности процедур оценки качества образования</w:t>
            </w:r>
            <w:proofErr w:type="gramEnd"/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</w:tc>
      </w:tr>
      <w:tr w:rsidR="000E6751" w:rsidRPr="000E6751" w:rsidTr="004274A9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организаций, имеющих признаки необъективности результатов ВПР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3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общеобразовательных организаций, имеющих признаки необъективности результатов ВПР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367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общеобразовательных организаций, имеющих признаки необъективности результатов ОГЭ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334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общеобразовательных организаций, имеющих признаки необъективности результатов ОГЭ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19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7.3.1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общественных наблюдателей в каждой аудитории пункта проведения оценочной процедуры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139B" w:rsidRPr="000E6751" w:rsidTr="004274A9">
        <w:trPr>
          <w:trHeight w:val="283"/>
        </w:trPr>
        <w:tc>
          <w:tcPr>
            <w:tcW w:w="1073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F4139B" w:rsidRPr="00F4139B" w:rsidRDefault="00F4139B" w:rsidP="00F41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0E67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бъективность проведения олимпиад школьников</w:t>
            </w:r>
          </w:p>
        </w:tc>
      </w:tr>
      <w:tr w:rsidR="000E6751" w:rsidRPr="000E6751" w:rsidTr="004274A9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8.1.1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школьников с изменившимися баллами после проведения апелляции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8.1.2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школьников с изменившимися баллами после проведения апелляции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566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8.2.1</w:t>
            </w:r>
          </w:p>
        </w:tc>
        <w:tc>
          <w:tcPr>
            <w:tcW w:w="7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общественных наблюдателей в каждой аудитории проведения муниципального этапа олимпиады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8.2.2</w:t>
            </w:r>
          </w:p>
        </w:tc>
        <w:tc>
          <w:tcPr>
            <w:tcW w:w="72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удовлетворенных апелляций с изменением баллов более чем на 15%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6751" w:rsidRPr="000E6751" w:rsidTr="004274A9">
        <w:trPr>
          <w:trHeight w:val="283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8.3.1</w:t>
            </w:r>
          </w:p>
        </w:tc>
        <w:tc>
          <w:tcPr>
            <w:tcW w:w="7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удовлетворенных апелляций с изменением баллов более чем на 15%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E6751" w:rsidRPr="000E6751" w:rsidRDefault="000E6751" w:rsidP="00E93A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7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6751" w:rsidRDefault="000E6751" w:rsidP="000E6751">
      <w:pPr>
        <w:jc w:val="right"/>
        <w:rPr>
          <w:rFonts w:ascii="Times New Roman" w:hAnsi="Times New Roman" w:cs="Times New Roman"/>
          <w:sz w:val="28"/>
        </w:rPr>
      </w:pPr>
    </w:p>
    <w:p w:rsidR="000E6751" w:rsidRDefault="000E6751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C7C8A" w:rsidRDefault="001C7C8A" w:rsidP="00F4139B">
      <w:pPr>
        <w:ind w:left="142" w:hanging="142"/>
        <w:jc w:val="right"/>
        <w:rPr>
          <w:rFonts w:ascii="Times New Roman" w:hAnsi="Times New Roman" w:cs="Times New Roman"/>
          <w:sz w:val="28"/>
        </w:rPr>
      </w:pPr>
    </w:p>
    <w:p w:rsidR="0015035D" w:rsidRPr="000E6751" w:rsidRDefault="0015035D" w:rsidP="00A812EC">
      <w:pPr>
        <w:jc w:val="right"/>
        <w:rPr>
          <w:rFonts w:ascii="Times New Roman" w:hAnsi="Times New Roman" w:cs="Times New Roman"/>
          <w:sz w:val="28"/>
        </w:rPr>
      </w:pPr>
    </w:p>
    <w:sectPr w:rsidR="0015035D" w:rsidRPr="000E6751" w:rsidSect="00D7533A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5CF"/>
    <w:rsid w:val="000C2354"/>
    <w:rsid w:val="000E6751"/>
    <w:rsid w:val="0015035D"/>
    <w:rsid w:val="001C7C8A"/>
    <w:rsid w:val="004274A9"/>
    <w:rsid w:val="004F71A4"/>
    <w:rsid w:val="00562BA2"/>
    <w:rsid w:val="006405CF"/>
    <w:rsid w:val="006D57BA"/>
    <w:rsid w:val="007762FA"/>
    <w:rsid w:val="009845CF"/>
    <w:rsid w:val="009A0841"/>
    <w:rsid w:val="00A812EC"/>
    <w:rsid w:val="00AC1412"/>
    <w:rsid w:val="00BF53A4"/>
    <w:rsid w:val="00D14D47"/>
    <w:rsid w:val="00D7533A"/>
    <w:rsid w:val="00E93AA8"/>
    <w:rsid w:val="00EA3BA0"/>
    <w:rsid w:val="00F41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5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57BA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9A0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38A1-8B8F-480C-A493-CE52CC522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cp:lastPrinted>2021-07-05T08:41:00Z</cp:lastPrinted>
  <dcterms:created xsi:type="dcterms:W3CDTF">2021-07-01T10:04:00Z</dcterms:created>
  <dcterms:modified xsi:type="dcterms:W3CDTF">2021-07-13T08:32:00Z</dcterms:modified>
</cp:coreProperties>
</file>